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Practical Day</w:t>
      </w:r>
      <w:r>
        <w:rPr>
          <w:rFonts w:asciiTheme="majorHAnsi" w:hAnsiTheme="majorHAnsi"/>
          <w:sz w:val="36"/>
          <w:szCs w:val="36"/>
        </w:rPr>
        <w:t xml:space="preserve"> of Pediatrics 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Practical</w:t>
      </w:r>
      <w:r w:rsidR="001C2005">
        <w:rPr>
          <w:rFonts w:asciiTheme="majorHAnsi" w:hAnsiTheme="majorHAnsi"/>
          <w:sz w:val="28"/>
          <w:szCs w:val="28"/>
        </w:rPr>
        <w:t xml:space="preserve"> Day of Pediatrics 2026 is an annual one-day continuing medical education (CME) conference designed to provide community and academic pediatricians with concise, evidence-based updates on common and emerging issues in pediatric practice. This year’s program will focus on practical approaches to everyday challenges in primary care, including dermatologic conditions, vaccine hesitancy, constipation, and anemia.</w:t>
      </w:r>
    </w:p>
    <w:p w:rsidR="001C2005" w:rsidP="00DD03BA">
      <w:pPr>
        <w:outlineLvl w:val="0"/>
        <w:rPr>
          <w:rFonts w:asciiTheme="majorHAnsi" w:hAnsiTheme="majorHAnsi"/>
          <w:sz w:val="28"/>
          <w:szCs w:val="28"/>
        </w:rPr>
      </w:pPr>
    </w:p>
    <w:p w:rsidR="00530634" w:rsidRPr="000419DE" w:rsidP="00DD03BA">
      <w:pPr>
        <w:outlineLvl w:val="0"/>
        <w:rPr>
          <w:rFonts w:asciiTheme="majorHAnsi" w:hAnsiTheme="majorHAnsi"/>
          <w:sz w:val="28"/>
          <w:szCs w:val="28"/>
        </w:rPr>
      </w:pPr>
      <w:r w:rsidR="001C2005">
        <w:rPr>
          <w:rFonts w:asciiTheme="majorHAnsi" w:hAnsiTheme="majorHAnsi"/>
          <w:sz w:val="28"/>
          <w:szCs w:val="28"/>
        </w:rPr>
        <w:t>Sessions will feature interactive case-based discussions led by UAB and Children’s of Alabama faculty, along with a dedicated billing and coding workshop to help clinicians optimize practice efficiency. The conference emphasizes real-world, applicable knowledge to support high-quality, family-centered pediatric care and strengthen collaboration between primary care providers and pediatric subspecialists.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Apply</w:t>
      </w:r>
      <w:r w:rsidRPr="00A31910" w:rsidR="00664A59">
        <w:rPr>
          <w:rFonts w:asciiTheme="majorHAnsi" w:hAnsiTheme="majorHAnsi"/>
          <w:sz w:val="28"/>
          <w:szCs w:val="28"/>
        </w:rPr>
        <w:t xml:space="preserve"> updated, evidence-based guidelines to the diagnosis and management of common pediatric conditions such as dermatologic disorders, constipation, and anemia.</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Employ effective communication strategies to address vaccine hesitancy and improve adherence among families with diverse socioeconomic and cultural backgrounds.</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3 Incorporate practical billing and coding principles to enhance accuracy, efficiency, and sustainability in pediatric practice.</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1/24</w:t>
      </w:r>
      <w:r w:rsidR="001C2005">
        <w:rPr>
          <w:rFonts w:asciiTheme="majorHAnsi" w:hAnsiTheme="majorHAnsi"/>
          <w:sz w:val="28"/>
          <w:szCs w:val="28"/>
        </w:rPr>
        <w:t>/2026 8:00:00 AM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Harbor Building</w:t>
      </w:r>
      <w:r w:rsidR="0012447B">
        <w:rPr>
          <w:rFonts w:asciiTheme="majorHAnsi" w:hAnsiTheme="majorHAnsi"/>
          <w:sz w:val="28"/>
          <w:szCs w:val="28"/>
        </w:rPr>
        <w:t xml:space="preserve"> -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Christina J</w:t>
      </w:r>
      <w:r>
        <w:rPr>
          <w:rFonts w:asciiTheme="majorHAnsi" w:hAnsiTheme="majorHAnsi" w:cs="Arial"/>
        </w:rPr>
        <w:t xml:space="preserve"> Bemrich-Stolz, MD : Grant or research support-Takeda Pharmaceuticals - 10/14/2025</w:t>
      </w:r>
    </w:p>
    <w:p w:rsidP="001C4552">
      <w:pPr>
        <w:ind w:left="360" w:hanging="360"/>
        <w:jc w:val="both"/>
        <w:rPr>
          <w:rFonts w:asciiTheme="majorHAnsi" w:hAnsiTheme="majorHAnsi" w:cs="Arial"/>
        </w:rPr>
      </w:pPr>
      <w:r>
        <w:rPr>
          <w:rFonts w:asciiTheme="majorHAnsi" w:hAnsiTheme="majorHAnsi" w:cs="Arial"/>
        </w:rPr>
        <w:t xml:space="preserve">Kim Huey, Other : </w:t>
      </w:r>
    </w:p>
    <w:p w:rsidP="001C4552">
      <w:pPr>
        <w:ind w:left="360" w:hanging="360"/>
        <w:jc w:val="both"/>
        <w:rPr>
          <w:rFonts w:asciiTheme="majorHAnsi" w:hAnsiTheme="majorHAnsi" w:cs="Arial"/>
        </w:rPr>
      </w:pPr>
      <w:r>
        <w:rPr>
          <w:rFonts w:asciiTheme="majorHAnsi" w:hAnsiTheme="majorHAnsi" w:cs="Arial"/>
        </w:rPr>
        <w:t>Claire S Keith, MD : Nothing to disclose - 10/14/2025</w:t>
      </w:r>
    </w:p>
    <w:p w:rsidP="001C4552">
      <w:pPr>
        <w:ind w:left="360" w:hanging="360"/>
        <w:jc w:val="both"/>
        <w:rPr>
          <w:rFonts w:asciiTheme="majorHAnsi" w:hAnsiTheme="majorHAnsi" w:cs="Arial"/>
        </w:rPr>
      </w:pPr>
      <w:r>
        <w:rPr>
          <w:rFonts w:asciiTheme="majorHAnsi" w:hAnsiTheme="majorHAnsi" w:cs="Arial"/>
        </w:rPr>
        <w:t>Sean T O'Leary, MD : Nothing to disclose - 10/14/2025</w:t>
      </w:r>
    </w:p>
    <w:p w:rsidR="0012447B" w:rsidRPr="000419DE" w:rsidP="001C4552">
      <w:pPr>
        <w:ind w:left="360" w:hanging="360"/>
        <w:jc w:val="both"/>
        <w:rPr>
          <w:rFonts w:asciiTheme="majorHAnsi" w:hAnsiTheme="majorHAnsi" w:cs="Arial"/>
        </w:rPr>
      </w:pPr>
      <w:r>
        <w:rPr>
          <w:rFonts w:asciiTheme="majorHAnsi" w:hAnsiTheme="majorHAnsi" w:cs="Arial"/>
        </w:rPr>
        <w:t xml:space="preserve">Abby Smith, MD : </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Children's</w:t>
      </w:r>
      <w:r>
        <w:rPr>
          <w:rFonts w:asciiTheme="majorHAnsi" w:hAnsiTheme="majorHAnsi"/>
          <w:sz w:val="22"/>
          <w:szCs w:val="22"/>
        </w:rPr>
        <w:t xml:space="preserve"> of Alabama designates this Live Activity for a maximum of 5.5 AMA PRA Category 1 Credit(s)™ and 5.5 ABP MOC Part 2 credits. Physicians should claim only the credit commensurate with the extent of their participation in the activity.</w:t>
      </w:r>
    </w:p>
    <w:p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7F4B38" w:rsidP="007F4B38">
      <w:pPr>
        <w:jc w:val="both"/>
        <w:rPr>
          <w:rFonts w:asciiTheme="majorHAnsi" w:hAnsiTheme="majorHAnsi"/>
          <w:sz w:val="22"/>
          <w:szCs w:val="22"/>
        </w:rPr>
      </w:pP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46668908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Practical Day</w:t>
      </w:r>
      <w:r>
        <w:rPr>
          <w:rFonts w:asciiTheme="majorHAnsi" w:hAnsiTheme="majorHAnsi"/>
          <w:sz w:val="36"/>
          <w:szCs w:val="36"/>
        </w:rPr>
        <w:t xml:space="preserve"> of Pediatrics 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Practical</w:t>
      </w:r>
      <w:r w:rsidR="001C2005">
        <w:rPr>
          <w:rFonts w:asciiTheme="majorHAnsi" w:hAnsiTheme="majorHAnsi"/>
          <w:sz w:val="28"/>
          <w:szCs w:val="28"/>
        </w:rPr>
        <w:t xml:space="preserve"> Day of Pediatrics 2026 is an annual one-day continuing medical education (CME) conference designed to provide community and academic pediatricians with concise, evidence-based updates on common and emerging issues in pediatric practice. This year’s program will focus on practical approaches to everyday challenges in primary care, including dermatologic conditions, vaccine hesitancy, constipation, and anemia.</w:t>
      </w:r>
    </w:p>
    <w:p w:rsidR="001C2005" w:rsidP="00DD03BA">
      <w:pPr>
        <w:outlineLvl w:val="0"/>
        <w:rPr>
          <w:rFonts w:asciiTheme="majorHAnsi" w:hAnsiTheme="majorHAnsi"/>
          <w:sz w:val="28"/>
          <w:szCs w:val="28"/>
        </w:rPr>
      </w:pPr>
    </w:p>
    <w:p w:rsidR="00530634" w:rsidRPr="000419DE" w:rsidP="00DD03BA">
      <w:pPr>
        <w:outlineLvl w:val="0"/>
        <w:rPr>
          <w:rFonts w:asciiTheme="majorHAnsi" w:hAnsiTheme="majorHAnsi"/>
          <w:sz w:val="28"/>
          <w:szCs w:val="28"/>
        </w:rPr>
      </w:pPr>
      <w:r w:rsidR="001C2005">
        <w:rPr>
          <w:rFonts w:asciiTheme="majorHAnsi" w:hAnsiTheme="majorHAnsi"/>
          <w:sz w:val="28"/>
          <w:szCs w:val="28"/>
        </w:rPr>
        <w:t>Sessions will feature interactive case-based discussions led by UAB and Children’s of Alabama faculty, along with a dedicated billing and coding workshop to help clinicians optimize practice efficiency. The conference emphasizes real-world, applicable knowledge to support high-quality, family-centered pediatric care and strengthen collaboration between primary care providers and pediatric subspecialists.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Apply</w:t>
      </w:r>
      <w:r w:rsidRPr="00A31910" w:rsidR="00664A59">
        <w:rPr>
          <w:rFonts w:asciiTheme="majorHAnsi" w:hAnsiTheme="majorHAnsi"/>
          <w:sz w:val="28"/>
          <w:szCs w:val="28"/>
        </w:rPr>
        <w:t xml:space="preserve"> updated, evidence-based guidelines to the diagnosis and management of common pediatric conditions such as dermatologic disorders, constipation, and anemia.</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Employ effective communication strategies to address vaccine hesitancy and improve adherence among families with diverse socioeconomic and cultural backgrounds.</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3 Incorporate practical billing and coding principles to enhance accuracy, efficiency, and sustainability in pediatric practice.</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1/24</w:t>
      </w:r>
      <w:r w:rsidR="001C2005">
        <w:rPr>
          <w:rFonts w:asciiTheme="majorHAnsi" w:hAnsiTheme="majorHAnsi"/>
          <w:sz w:val="28"/>
          <w:szCs w:val="28"/>
        </w:rPr>
        <w:t>/2026 8:00:00 AM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Harbor Building</w:t>
      </w:r>
      <w:r w:rsidR="0012447B">
        <w:rPr>
          <w:rFonts w:asciiTheme="majorHAnsi" w:hAnsiTheme="majorHAnsi"/>
          <w:sz w:val="28"/>
          <w:szCs w:val="28"/>
        </w:rPr>
        <w:t xml:space="preserve"> -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Christina J</w:t>
      </w:r>
      <w:r>
        <w:rPr>
          <w:rFonts w:asciiTheme="majorHAnsi" w:hAnsiTheme="majorHAnsi" w:cs="Arial"/>
        </w:rPr>
        <w:t xml:space="preserve"> Bemrich-Stolz, MD : Grant or research support-Takeda Pharmaceuticals - 10/14/2025</w:t>
      </w:r>
    </w:p>
    <w:p w:rsidP="001C4552">
      <w:pPr>
        <w:ind w:left="360" w:hanging="360"/>
        <w:jc w:val="both"/>
        <w:rPr>
          <w:rFonts w:asciiTheme="majorHAnsi" w:hAnsiTheme="majorHAnsi" w:cs="Arial"/>
        </w:rPr>
      </w:pPr>
      <w:r>
        <w:rPr>
          <w:rFonts w:asciiTheme="majorHAnsi" w:hAnsiTheme="majorHAnsi" w:cs="Arial"/>
        </w:rPr>
        <w:t xml:space="preserve">Kim Huey, Other : </w:t>
      </w:r>
    </w:p>
    <w:p w:rsidP="001C4552">
      <w:pPr>
        <w:ind w:left="360" w:hanging="360"/>
        <w:jc w:val="both"/>
        <w:rPr>
          <w:rFonts w:asciiTheme="majorHAnsi" w:hAnsiTheme="majorHAnsi" w:cs="Arial"/>
        </w:rPr>
      </w:pPr>
      <w:r>
        <w:rPr>
          <w:rFonts w:asciiTheme="majorHAnsi" w:hAnsiTheme="majorHAnsi" w:cs="Arial"/>
        </w:rPr>
        <w:t>Claire S Keith, MD : Nothing to disclose - 10/14/2025</w:t>
      </w:r>
    </w:p>
    <w:p w:rsidP="001C4552">
      <w:pPr>
        <w:ind w:left="360" w:hanging="360"/>
        <w:jc w:val="both"/>
        <w:rPr>
          <w:rFonts w:asciiTheme="majorHAnsi" w:hAnsiTheme="majorHAnsi" w:cs="Arial"/>
        </w:rPr>
      </w:pPr>
      <w:r>
        <w:rPr>
          <w:rFonts w:asciiTheme="majorHAnsi" w:hAnsiTheme="majorHAnsi" w:cs="Arial"/>
        </w:rPr>
        <w:t>Sean T O'Leary, MD : Nothing to disclose - 10/14/2025</w:t>
      </w:r>
    </w:p>
    <w:p w:rsidR="0012447B" w:rsidRPr="000419DE" w:rsidP="001C4552">
      <w:pPr>
        <w:ind w:left="360" w:hanging="360"/>
        <w:jc w:val="both"/>
        <w:rPr>
          <w:rFonts w:asciiTheme="majorHAnsi" w:hAnsiTheme="majorHAnsi" w:cs="Arial"/>
        </w:rPr>
      </w:pPr>
      <w:r>
        <w:rPr>
          <w:rFonts w:asciiTheme="majorHAnsi" w:hAnsiTheme="majorHAnsi" w:cs="Arial"/>
        </w:rPr>
        <w:t xml:space="preserve">Abby Smith, MD : </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Children's</w:t>
      </w:r>
      <w:r>
        <w:rPr>
          <w:rFonts w:asciiTheme="majorHAnsi" w:hAnsiTheme="majorHAnsi"/>
          <w:sz w:val="22"/>
          <w:szCs w:val="22"/>
        </w:rPr>
        <w:t xml:space="preserve"> of Alabama designates this Live Activity for a maximum of 5.5 AMA PRA Category 1 Credit(s)™ and 5.5 ABP MOC Part 2 credits. Physicians should claim only the credit commensurate with the extent of their participation in the activity.</w:t>
      </w:r>
    </w:p>
    <w:p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7F4B38" w:rsidP="007F4B38">
      <w:pPr>
        <w:jc w:val="both"/>
        <w:rPr>
          <w:rFonts w:asciiTheme="majorHAnsi" w:hAnsiTheme="majorHAnsi"/>
          <w:sz w:val="22"/>
          <w:szCs w:val="22"/>
        </w:rPr>
      </w:pP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228536576"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Practical Day</w:t>
      </w:r>
      <w:r>
        <w:rPr>
          <w:rFonts w:asciiTheme="majorHAnsi" w:hAnsiTheme="majorHAnsi"/>
          <w:sz w:val="36"/>
          <w:szCs w:val="36"/>
        </w:rPr>
        <w:t xml:space="preserve"> of Pediatrics 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Practical</w:t>
      </w:r>
      <w:r w:rsidR="001C2005">
        <w:rPr>
          <w:rFonts w:asciiTheme="majorHAnsi" w:hAnsiTheme="majorHAnsi"/>
          <w:sz w:val="28"/>
          <w:szCs w:val="28"/>
        </w:rPr>
        <w:t xml:space="preserve"> Day of Pediatrics 2026 is an annual one-day continuing medical education (CME) conference designed to provide community and academic pediatricians with concise, evidence-based updates on common and emerging issues in pediatric practice. This year’s program will focus on practical approaches to everyday challenges in primary care, including dermatologic conditions, vaccine hesitancy, constipation, and anemia.</w:t>
      </w:r>
    </w:p>
    <w:p w:rsidR="001C2005" w:rsidP="00DD03BA">
      <w:pPr>
        <w:outlineLvl w:val="0"/>
        <w:rPr>
          <w:rFonts w:asciiTheme="majorHAnsi" w:hAnsiTheme="majorHAnsi"/>
          <w:sz w:val="28"/>
          <w:szCs w:val="28"/>
        </w:rPr>
      </w:pPr>
    </w:p>
    <w:p w:rsidR="00530634" w:rsidRPr="000419DE" w:rsidP="00DD03BA">
      <w:pPr>
        <w:outlineLvl w:val="0"/>
        <w:rPr>
          <w:rFonts w:asciiTheme="majorHAnsi" w:hAnsiTheme="majorHAnsi"/>
          <w:sz w:val="28"/>
          <w:szCs w:val="28"/>
        </w:rPr>
      </w:pPr>
      <w:r w:rsidR="001C2005">
        <w:rPr>
          <w:rFonts w:asciiTheme="majorHAnsi" w:hAnsiTheme="majorHAnsi"/>
          <w:sz w:val="28"/>
          <w:szCs w:val="28"/>
        </w:rPr>
        <w:t>Sessions will feature interactive case-based discussions led by UAB and Children’s of Alabama faculty, along with a dedicated billing and coding workshop to help clinicians optimize practice efficiency. The conference emphasizes real-world, applicable knowledge to support high-quality, family-centered pediatric care and strengthen collaboration between primary care providers and pediatric subspecialists.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Apply</w:t>
      </w:r>
      <w:r w:rsidRPr="00A31910" w:rsidR="00664A59">
        <w:rPr>
          <w:rFonts w:asciiTheme="majorHAnsi" w:hAnsiTheme="majorHAnsi"/>
          <w:sz w:val="28"/>
          <w:szCs w:val="28"/>
        </w:rPr>
        <w:t xml:space="preserve"> updated, evidence-based guidelines to the diagnosis and management of common pediatric conditions such as dermatologic disorders, constipation, and anemia.</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Employ effective communication strategies to address vaccine hesitancy and improve adherence among families with diverse socioeconomic and cultural backgrounds.</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3 Incorporate practical billing and coding principles to enhance accuracy, efficiency, and sustainability in pediatric practice.</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1/24</w:t>
      </w:r>
      <w:r w:rsidR="001C2005">
        <w:rPr>
          <w:rFonts w:asciiTheme="majorHAnsi" w:hAnsiTheme="majorHAnsi"/>
          <w:sz w:val="28"/>
          <w:szCs w:val="28"/>
        </w:rPr>
        <w:t>/2026 8:00:00 AM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Harbor Building</w:t>
      </w:r>
      <w:r w:rsidR="0012447B">
        <w:rPr>
          <w:rFonts w:asciiTheme="majorHAnsi" w:hAnsiTheme="majorHAnsi"/>
          <w:sz w:val="28"/>
          <w:szCs w:val="28"/>
        </w:rPr>
        <w:t xml:space="preserve"> -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Christina J</w:t>
      </w:r>
      <w:r>
        <w:rPr>
          <w:rFonts w:asciiTheme="majorHAnsi" w:hAnsiTheme="majorHAnsi" w:cs="Arial"/>
        </w:rPr>
        <w:t xml:space="preserve"> Bemrich-Stolz, MD : Grant or research support-Takeda Pharmaceuticals - 10/14/2025</w:t>
      </w:r>
    </w:p>
    <w:p w:rsidP="001C4552">
      <w:pPr>
        <w:ind w:left="360" w:hanging="360"/>
        <w:jc w:val="both"/>
        <w:rPr>
          <w:rFonts w:asciiTheme="majorHAnsi" w:hAnsiTheme="majorHAnsi" w:cs="Arial"/>
        </w:rPr>
      </w:pPr>
      <w:r>
        <w:rPr>
          <w:rFonts w:asciiTheme="majorHAnsi" w:hAnsiTheme="majorHAnsi" w:cs="Arial"/>
        </w:rPr>
        <w:t xml:space="preserve">Kim Huey, Other : </w:t>
      </w:r>
    </w:p>
    <w:p w:rsidP="001C4552">
      <w:pPr>
        <w:ind w:left="360" w:hanging="360"/>
        <w:jc w:val="both"/>
        <w:rPr>
          <w:rFonts w:asciiTheme="majorHAnsi" w:hAnsiTheme="majorHAnsi" w:cs="Arial"/>
        </w:rPr>
      </w:pPr>
      <w:r>
        <w:rPr>
          <w:rFonts w:asciiTheme="majorHAnsi" w:hAnsiTheme="majorHAnsi" w:cs="Arial"/>
        </w:rPr>
        <w:t>Claire S Keith, MD : Nothing to disclose - 10/14/2025</w:t>
      </w:r>
    </w:p>
    <w:p w:rsidP="001C4552">
      <w:pPr>
        <w:ind w:left="360" w:hanging="360"/>
        <w:jc w:val="both"/>
        <w:rPr>
          <w:rFonts w:asciiTheme="majorHAnsi" w:hAnsiTheme="majorHAnsi" w:cs="Arial"/>
        </w:rPr>
      </w:pPr>
      <w:r>
        <w:rPr>
          <w:rFonts w:asciiTheme="majorHAnsi" w:hAnsiTheme="majorHAnsi" w:cs="Arial"/>
        </w:rPr>
        <w:t>Sean T O'Leary, MD : Nothing to disclose - 10/14/2025</w:t>
      </w:r>
    </w:p>
    <w:p w:rsidR="0012447B" w:rsidRPr="000419DE" w:rsidP="001C4552">
      <w:pPr>
        <w:ind w:left="360" w:hanging="360"/>
        <w:jc w:val="both"/>
        <w:rPr>
          <w:rFonts w:asciiTheme="majorHAnsi" w:hAnsiTheme="majorHAnsi" w:cs="Arial"/>
        </w:rPr>
      </w:pPr>
      <w:r>
        <w:rPr>
          <w:rFonts w:asciiTheme="majorHAnsi" w:hAnsiTheme="majorHAnsi" w:cs="Arial"/>
        </w:rPr>
        <w:t xml:space="preserve">Abby Smith, MD : </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Children's</w:t>
      </w:r>
      <w:r>
        <w:rPr>
          <w:rFonts w:asciiTheme="majorHAnsi" w:hAnsiTheme="majorHAnsi"/>
          <w:sz w:val="22"/>
          <w:szCs w:val="22"/>
        </w:rPr>
        <w:t xml:space="preserve"> of Alabama designates this Live Activity for a maximum of 5.5 AMA PRA Category 1 Credit(s)™ and 5.5 ABP MOC Part 2 credits. Physicians should claim only the credit commensurate with the extent of their participation in the activity.</w:t>
      </w:r>
    </w:p>
    <w:p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7F4B38" w:rsidP="007F4B38">
      <w:pPr>
        <w:jc w:val="both"/>
        <w:rPr>
          <w:rFonts w:asciiTheme="majorHAnsi" w:hAnsiTheme="majorHAnsi"/>
          <w:sz w:val="22"/>
          <w:szCs w:val="22"/>
        </w:rPr>
      </w:pP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2003388868"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Practical Day</w:t>
      </w:r>
      <w:r>
        <w:rPr>
          <w:rFonts w:asciiTheme="majorHAnsi" w:hAnsiTheme="majorHAnsi"/>
          <w:sz w:val="36"/>
          <w:szCs w:val="36"/>
        </w:rPr>
        <w:t xml:space="preserve"> of Pediatrics 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Practical</w:t>
      </w:r>
      <w:r w:rsidR="001C2005">
        <w:rPr>
          <w:rFonts w:asciiTheme="majorHAnsi" w:hAnsiTheme="majorHAnsi"/>
          <w:sz w:val="28"/>
          <w:szCs w:val="28"/>
        </w:rPr>
        <w:t xml:space="preserve"> Day of Pediatrics 2026 is an annual one-day continuing medical education (CME) conference designed to provide community and academic pediatricians with concise, evidence-based updates on common and emerging issues in pediatric practice. This year’s program will focus on practical approaches to everyday challenges in primary care, including dermatologic conditions, vaccine hesitancy, constipation, and anemia.</w:t>
      </w:r>
    </w:p>
    <w:p w:rsidR="001C2005" w:rsidP="00DD03BA">
      <w:pPr>
        <w:outlineLvl w:val="0"/>
        <w:rPr>
          <w:rFonts w:asciiTheme="majorHAnsi" w:hAnsiTheme="majorHAnsi"/>
          <w:sz w:val="28"/>
          <w:szCs w:val="28"/>
        </w:rPr>
      </w:pPr>
    </w:p>
    <w:p w:rsidR="00530634" w:rsidRPr="000419DE" w:rsidP="00DD03BA">
      <w:pPr>
        <w:outlineLvl w:val="0"/>
        <w:rPr>
          <w:rFonts w:asciiTheme="majorHAnsi" w:hAnsiTheme="majorHAnsi"/>
          <w:sz w:val="28"/>
          <w:szCs w:val="28"/>
        </w:rPr>
      </w:pPr>
      <w:r w:rsidR="001C2005">
        <w:rPr>
          <w:rFonts w:asciiTheme="majorHAnsi" w:hAnsiTheme="majorHAnsi"/>
          <w:sz w:val="28"/>
          <w:szCs w:val="28"/>
        </w:rPr>
        <w:t>Sessions will feature interactive case-based discussions led by UAB and Children’s of Alabama faculty, along with a dedicated billing and coding workshop to help clinicians optimize practice efficiency. The conference emphasizes real-world, applicable knowledge to support high-quality, family-centered pediatric care and strengthen collaboration between primary care providers and pediatric subspecialists.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Apply</w:t>
      </w:r>
      <w:r w:rsidRPr="00A31910" w:rsidR="00664A59">
        <w:rPr>
          <w:rFonts w:asciiTheme="majorHAnsi" w:hAnsiTheme="majorHAnsi"/>
          <w:sz w:val="28"/>
          <w:szCs w:val="28"/>
        </w:rPr>
        <w:t xml:space="preserve"> updated, evidence-based guidelines to the diagnosis and management of common pediatric conditions such as dermatologic disorders, constipation, and anemia.</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Employ effective communication strategies to address vaccine hesitancy and improve adherence among families with diverse socioeconomic and cultural backgrounds.</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3 Incorporate practical billing and coding principles to enhance accuracy, efficiency, and sustainability in pediatric practice.</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1/24</w:t>
      </w:r>
      <w:r w:rsidR="001C2005">
        <w:rPr>
          <w:rFonts w:asciiTheme="majorHAnsi" w:hAnsiTheme="majorHAnsi"/>
          <w:sz w:val="28"/>
          <w:szCs w:val="28"/>
        </w:rPr>
        <w:t>/2026 8:00:00 AM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Harbor Building</w:t>
      </w:r>
      <w:r w:rsidR="0012447B">
        <w:rPr>
          <w:rFonts w:asciiTheme="majorHAnsi" w:hAnsiTheme="majorHAnsi"/>
          <w:sz w:val="28"/>
          <w:szCs w:val="28"/>
        </w:rPr>
        <w:t xml:space="preserve"> -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Christina J</w:t>
      </w:r>
      <w:r>
        <w:rPr>
          <w:rFonts w:asciiTheme="majorHAnsi" w:hAnsiTheme="majorHAnsi" w:cs="Arial"/>
        </w:rPr>
        <w:t xml:space="preserve"> Bemrich-Stolz, MD : Grant or research support-Takeda Pharmaceuticals - 10/14/2025</w:t>
      </w:r>
    </w:p>
    <w:p w:rsidP="001C4552">
      <w:pPr>
        <w:ind w:left="360" w:hanging="360"/>
        <w:jc w:val="both"/>
        <w:rPr>
          <w:rFonts w:asciiTheme="majorHAnsi" w:hAnsiTheme="majorHAnsi" w:cs="Arial"/>
        </w:rPr>
      </w:pPr>
      <w:r>
        <w:rPr>
          <w:rFonts w:asciiTheme="majorHAnsi" w:hAnsiTheme="majorHAnsi" w:cs="Arial"/>
        </w:rPr>
        <w:t xml:space="preserve">Kim Huey, Other : </w:t>
      </w:r>
    </w:p>
    <w:p w:rsidP="001C4552">
      <w:pPr>
        <w:ind w:left="360" w:hanging="360"/>
        <w:jc w:val="both"/>
        <w:rPr>
          <w:rFonts w:asciiTheme="majorHAnsi" w:hAnsiTheme="majorHAnsi" w:cs="Arial"/>
        </w:rPr>
      </w:pPr>
      <w:r>
        <w:rPr>
          <w:rFonts w:asciiTheme="majorHAnsi" w:hAnsiTheme="majorHAnsi" w:cs="Arial"/>
        </w:rPr>
        <w:t>Claire S Keith, MD : Nothing to disclose - 10/14/2025</w:t>
      </w:r>
    </w:p>
    <w:p w:rsidP="001C4552">
      <w:pPr>
        <w:ind w:left="360" w:hanging="360"/>
        <w:jc w:val="both"/>
        <w:rPr>
          <w:rFonts w:asciiTheme="majorHAnsi" w:hAnsiTheme="majorHAnsi" w:cs="Arial"/>
        </w:rPr>
      </w:pPr>
      <w:r>
        <w:rPr>
          <w:rFonts w:asciiTheme="majorHAnsi" w:hAnsiTheme="majorHAnsi" w:cs="Arial"/>
        </w:rPr>
        <w:t>Sean T O'Leary, MD : Nothing to disclose - 10/14/2025</w:t>
      </w:r>
    </w:p>
    <w:p w:rsidR="0012447B" w:rsidRPr="000419DE" w:rsidP="001C4552">
      <w:pPr>
        <w:ind w:left="360" w:hanging="360"/>
        <w:jc w:val="both"/>
        <w:rPr>
          <w:rFonts w:asciiTheme="majorHAnsi" w:hAnsiTheme="majorHAnsi" w:cs="Arial"/>
        </w:rPr>
      </w:pPr>
      <w:r>
        <w:rPr>
          <w:rFonts w:asciiTheme="majorHAnsi" w:hAnsiTheme="majorHAnsi" w:cs="Arial"/>
        </w:rPr>
        <w:t xml:space="preserve">Abby Smith, MD : </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Children's</w:t>
      </w:r>
      <w:r>
        <w:rPr>
          <w:rFonts w:asciiTheme="majorHAnsi" w:hAnsiTheme="majorHAnsi"/>
          <w:sz w:val="22"/>
          <w:szCs w:val="22"/>
        </w:rPr>
        <w:t xml:space="preserve"> of Alabama designates this Live Activity for a maximum of 5.5 AMA PRA Category 1 Credit(s)™ and 5.5 ABP MOC Part 2 credits. Physicians should claim only the credit commensurate with the extent of their participation in the activity.</w:t>
      </w:r>
    </w:p>
    <w:p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7F4B38" w:rsidP="007F4B38">
      <w:pPr>
        <w:jc w:val="both"/>
        <w:rPr>
          <w:rFonts w:asciiTheme="majorHAnsi" w:hAnsiTheme="majorHAnsi"/>
          <w:sz w:val="22"/>
          <w:szCs w:val="22"/>
        </w:rPr>
      </w:pP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208819789"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Practical Day</w:t>
      </w:r>
      <w:r>
        <w:rPr>
          <w:rFonts w:asciiTheme="majorHAnsi" w:hAnsiTheme="majorHAnsi"/>
          <w:sz w:val="36"/>
          <w:szCs w:val="36"/>
        </w:rPr>
        <w:t xml:space="preserve"> of Pediatrics 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Practical</w:t>
      </w:r>
      <w:r w:rsidR="001C2005">
        <w:rPr>
          <w:rFonts w:asciiTheme="majorHAnsi" w:hAnsiTheme="majorHAnsi"/>
          <w:sz w:val="28"/>
          <w:szCs w:val="28"/>
        </w:rPr>
        <w:t xml:space="preserve"> Day of Pediatrics 2026 is an annual one-day continuing medical education (CME) conference designed to provide community and academic pediatricians with concise, evidence-based updates on common and emerging issues in pediatric practice. This year’s program will focus on practical approaches to everyday challenges in primary care, including dermatologic conditions, vaccine hesitancy, constipation, and anemia.</w:t>
      </w:r>
    </w:p>
    <w:p w:rsidR="001C2005" w:rsidP="00DD03BA">
      <w:pPr>
        <w:outlineLvl w:val="0"/>
        <w:rPr>
          <w:rFonts w:asciiTheme="majorHAnsi" w:hAnsiTheme="majorHAnsi"/>
          <w:sz w:val="28"/>
          <w:szCs w:val="28"/>
        </w:rPr>
      </w:pPr>
    </w:p>
    <w:p w:rsidR="00530634" w:rsidRPr="000419DE" w:rsidP="00DD03BA">
      <w:pPr>
        <w:outlineLvl w:val="0"/>
        <w:rPr>
          <w:rFonts w:asciiTheme="majorHAnsi" w:hAnsiTheme="majorHAnsi"/>
          <w:sz w:val="28"/>
          <w:szCs w:val="28"/>
        </w:rPr>
      </w:pPr>
      <w:r w:rsidR="001C2005">
        <w:rPr>
          <w:rFonts w:asciiTheme="majorHAnsi" w:hAnsiTheme="majorHAnsi"/>
          <w:sz w:val="28"/>
          <w:szCs w:val="28"/>
        </w:rPr>
        <w:t>Sessions will feature interactive case-based discussions led by UAB and Children’s of Alabama faculty, along with a dedicated billing and coding workshop to help clinicians optimize practice efficiency. The conference emphasizes real-world, applicable knowledge to support high-quality, family-centered pediatric care and strengthen collaboration between primary care providers and pediatric subspecialists.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Apply</w:t>
      </w:r>
      <w:r w:rsidRPr="00A31910" w:rsidR="00664A59">
        <w:rPr>
          <w:rFonts w:asciiTheme="majorHAnsi" w:hAnsiTheme="majorHAnsi"/>
          <w:sz w:val="28"/>
          <w:szCs w:val="28"/>
        </w:rPr>
        <w:t xml:space="preserve"> updated, evidence-based guidelines to the diagnosis and management of common pediatric conditions such as dermatologic disorders, constipation, and anemia.</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Employ effective communication strategies to address vaccine hesitancy and improve adherence among families with diverse socioeconomic and cultural backgrounds.</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3 Incorporate practical billing and coding principles to enhance accuracy, efficiency, and sustainability in pediatric practice.</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1/24</w:t>
      </w:r>
      <w:r w:rsidR="001C2005">
        <w:rPr>
          <w:rFonts w:asciiTheme="majorHAnsi" w:hAnsiTheme="majorHAnsi"/>
          <w:sz w:val="28"/>
          <w:szCs w:val="28"/>
        </w:rPr>
        <w:t>/2026 8:00:00 AM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Harbor Building</w:t>
      </w:r>
      <w:r w:rsidR="0012447B">
        <w:rPr>
          <w:rFonts w:asciiTheme="majorHAnsi" w:hAnsiTheme="majorHAnsi"/>
          <w:sz w:val="28"/>
          <w:szCs w:val="28"/>
        </w:rPr>
        <w:t xml:space="preserve"> -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Christina J</w:t>
      </w:r>
      <w:r>
        <w:rPr>
          <w:rFonts w:asciiTheme="majorHAnsi" w:hAnsiTheme="majorHAnsi" w:cs="Arial"/>
        </w:rPr>
        <w:t xml:space="preserve"> Bemrich-Stolz, MD : Grant or research support-Takeda Pharmaceuticals - 10/14/2025</w:t>
      </w:r>
    </w:p>
    <w:p w:rsidP="001C4552">
      <w:pPr>
        <w:ind w:left="360" w:hanging="360"/>
        <w:jc w:val="both"/>
        <w:rPr>
          <w:rFonts w:asciiTheme="majorHAnsi" w:hAnsiTheme="majorHAnsi" w:cs="Arial"/>
        </w:rPr>
      </w:pPr>
      <w:r>
        <w:rPr>
          <w:rFonts w:asciiTheme="majorHAnsi" w:hAnsiTheme="majorHAnsi" w:cs="Arial"/>
        </w:rPr>
        <w:t xml:space="preserve">Kim Huey, Other : </w:t>
      </w:r>
    </w:p>
    <w:p w:rsidP="001C4552">
      <w:pPr>
        <w:ind w:left="360" w:hanging="360"/>
        <w:jc w:val="both"/>
        <w:rPr>
          <w:rFonts w:asciiTheme="majorHAnsi" w:hAnsiTheme="majorHAnsi" w:cs="Arial"/>
        </w:rPr>
      </w:pPr>
      <w:r>
        <w:rPr>
          <w:rFonts w:asciiTheme="majorHAnsi" w:hAnsiTheme="majorHAnsi" w:cs="Arial"/>
        </w:rPr>
        <w:t>Claire S Keith, MD : Nothing to disclose - 10/14/2025</w:t>
      </w:r>
    </w:p>
    <w:p w:rsidP="001C4552">
      <w:pPr>
        <w:ind w:left="360" w:hanging="360"/>
        <w:jc w:val="both"/>
        <w:rPr>
          <w:rFonts w:asciiTheme="majorHAnsi" w:hAnsiTheme="majorHAnsi" w:cs="Arial"/>
        </w:rPr>
      </w:pPr>
      <w:r>
        <w:rPr>
          <w:rFonts w:asciiTheme="majorHAnsi" w:hAnsiTheme="majorHAnsi" w:cs="Arial"/>
        </w:rPr>
        <w:t>Sean T O'Leary, MD : Nothing to disclose - 10/14/2025</w:t>
      </w:r>
    </w:p>
    <w:p w:rsidR="0012447B" w:rsidRPr="000419DE" w:rsidP="001C4552">
      <w:pPr>
        <w:ind w:left="360" w:hanging="360"/>
        <w:jc w:val="both"/>
        <w:rPr>
          <w:rFonts w:asciiTheme="majorHAnsi" w:hAnsiTheme="majorHAnsi" w:cs="Arial"/>
        </w:rPr>
      </w:pPr>
      <w:r>
        <w:rPr>
          <w:rFonts w:asciiTheme="majorHAnsi" w:hAnsiTheme="majorHAnsi" w:cs="Arial"/>
        </w:rPr>
        <w:t xml:space="preserve">Abby Smith, MD : </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Children's</w:t>
      </w:r>
      <w:r>
        <w:rPr>
          <w:rFonts w:asciiTheme="majorHAnsi" w:hAnsiTheme="majorHAnsi"/>
          <w:sz w:val="22"/>
          <w:szCs w:val="22"/>
        </w:rPr>
        <w:t xml:space="preserve"> of Alabama designates this Live Activity for a maximum of 5.5 AMA PRA Category 1 Credit(s)™ and 5.5 ABP MOC Part 2 credits. Physicians should claim only the credit commensurate with the extent of their participation in the activity.</w:t>
      </w:r>
    </w:p>
    <w:p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7F4B38" w:rsidP="007F4B38">
      <w:pPr>
        <w:jc w:val="both"/>
        <w:rPr>
          <w:rFonts w:asciiTheme="majorHAnsi" w:hAnsiTheme="majorHAnsi"/>
          <w:sz w:val="22"/>
          <w:szCs w:val="22"/>
        </w:rPr>
      </w:pP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