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- 7/13/2026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7/13</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