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2026 Pediatric</w:t>
      </w:r>
      <w:r>
        <w:rPr>
          <w:rFonts w:asciiTheme="majorHAnsi" w:hAnsiTheme="majorHAnsi"/>
          <w:sz w:val="36"/>
          <w:szCs w:val="36"/>
        </w:rPr>
        <w:t xml:space="preserve"> Infectious Diseases Noon Conference - 6/2/2026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RSS-Pediatric Infectious</w:t>
      </w:r>
      <w:r w:rsidR="001C2005">
        <w:rPr>
          <w:rFonts w:asciiTheme="majorHAnsi" w:hAnsiTheme="majorHAnsi"/>
          <w:sz w:val="28"/>
          <w:szCs w:val="28"/>
        </w:rPr>
        <w:t xml:space="preserve"> Diseases Noon Conference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Integrate</w:t>
      </w:r>
      <w:r w:rsidRPr="00A31910" w:rsidR="00664A59">
        <w:rPr>
          <w:rFonts w:asciiTheme="majorHAnsi" w:hAnsiTheme="majorHAnsi"/>
          <w:sz w:val="28"/>
          <w:szCs w:val="28"/>
        </w:rPr>
        <w:t xml:space="preserve"> cutting-edge research findings into evidence-based patient management strategies to enhance clinical outcomes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Describe the pathophysiology underlying human diseases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3 Evaluate differential diagnosis and formulate management strategies for patients with conditions lacking well-established treatment modalities in current literature.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6/2</w:t>
      </w:r>
      <w:r w:rsidR="001C2005">
        <w:rPr>
          <w:rFonts w:asciiTheme="majorHAnsi" w:hAnsiTheme="majorHAnsi"/>
          <w:sz w:val="28"/>
          <w:szCs w:val="28"/>
        </w:rPr>
        <w:t>/2026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1600 6th</w:t>
      </w:r>
      <w:r w:rsidR="0012447B">
        <w:rPr>
          <w:rFonts w:asciiTheme="majorHAnsi" w:hAnsiTheme="majorHAnsi"/>
          <w:sz w:val="28"/>
          <w:szCs w:val="28"/>
        </w:rPr>
        <w:t xml:space="preserve"> Ave. South CHB311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Other for a maximum of 1.00 AMA PRA Category 1 Credit(s)™. Physicians should claim only the credit commensurate with the extent of their participation in the activity.</w:t>
      </w: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