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6/7/2022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6/7</w:t>
      </w:r>
      <w:r w:rsidR="001C2005">
        <w:rPr>
          <w:rFonts w:asciiTheme="majorHAnsi" w:hAnsiTheme="majorHAnsi"/>
          <w:sz w:val="28"/>
          <w:szCs w:val="28"/>
        </w:rPr>
        <w:t>/2022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 xml:space="preserve"> Prattville </w:t>
      </w:r>
      <w:r w:rsidR="0012447B">
        <w:rPr>
          <w:rFonts w:asciiTheme="majorHAnsi" w:hAnsiTheme="majorHAnsi"/>
          <w:sz w:val="28"/>
          <w:szCs w:val="28"/>
        </w:rPr>
        <w:t>Hospital</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