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PATHS Summer</w:t>
      </w:r>
      <w:r>
        <w:rPr>
          <w:rFonts w:asciiTheme="majorHAnsi" w:hAnsiTheme="majorHAnsi"/>
          <w:sz w:val="36"/>
          <w:szCs w:val="36"/>
        </w:rPr>
        <w:t xml:space="preserve"> Conference 2022</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This conference</w:t>
      </w:r>
      <w:r w:rsidR="001C2005">
        <w:rPr>
          <w:rFonts w:asciiTheme="majorHAnsi" w:hAnsiTheme="majorHAnsi"/>
          <w:sz w:val="28"/>
          <w:szCs w:val="28"/>
        </w:rPr>
        <w:t xml:space="preserve"> is planned is planned as an augmentation to our Behavioral Health Project ECHO trainings that are offered for PATHS participants. We had unused HRSA funds available for carryover from the previous grant year, and felt that this was a great opportunity to provide some additional behavioral health training for our PATHS participants.</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Recognize</w:t>
      </w:r>
      <w:r w:rsidRPr="00A31910" w:rsidR="00664A59">
        <w:rPr>
          <w:rFonts w:asciiTheme="majorHAnsi" w:hAnsiTheme="majorHAnsi"/>
          <w:sz w:val="28"/>
          <w:szCs w:val="28"/>
        </w:rPr>
        <w:t xml:space="preserve"> specific behaviors associated with children of early neglect and trauma</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Attendees will be able to articulate the complex interplay between mind (psychological) and  body (physiological) reactions to trauma, including brain trauma</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3 Define toxic stress and developmental trauma</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4 Participants will better understand sexual orientation and gender identity within a  developmental context.</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5 Understand the office based evaluation and family-based treatment for youth with severe  obesity</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8/27</w:t>
      </w:r>
      <w:r w:rsidR="001C2005">
        <w:rPr>
          <w:rFonts w:asciiTheme="majorHAnsi" w:hAnsiTheme="majorHAnsi"/>
          <w:sz w:val="28"/>
          <w:szCs w:val="28"/>
        </w:rPr>
        <w:t>/2022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The Bradley</w:t>
      </w:r>
      <w:r w:rsidR="0012447B">
        <w:rPr>
          <w:rFonts w:asciiTheme="majorHAnsi" w:hAnsiTheme="majorHAnsi"/>
          <w:sz w:val="28"/>
          <w:szCs w:val="28"/>
        </w:rPr>
        <w:t xml:space="preserve"> Lecture Center</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Joseph  Ackerson</w:t>
      </w:r>
      <w:r>
        <w:rPr>
          <w:rFonts w:asciiTheme="majorHAnsi" w:hAnsiTheme="majorHAnsi" w:cs="Arial"/>
        </w:rPr>
        <w:t>, PhD: Nothing to disclose - 07/07/2022</w:t>
      </w:r>
    </w:p>
    <w:p w:rsidP="001C4552">
      <w:pPr>
        <w:ind w:left="360" w:hanging="360"/>
        <w:jc w:val="both"/>
        <w:rPr>
          <w:rFonts w:asciiTheme="majorHAnsi" w:hAnsiTheme="majorHAnsi" w:cs="Arial"/>
        </w:rPr>
      </w:pPr>
      <w:r>
        <w:rPr>
          <w:rFonts w:asciiTheme="majorHAnsi" w:hAnsiTheme="majorHAnsi" w:cs="Arial"/>
        </w:rPr>
        <w:t>Elizabeth  Dawson, MD: Nothing to disclose - 07/07/2022</w:t>
      </w:r>
    </w:p>
    <w:p w:rsidP="001C4552">
      <w:pPr>
        <w:ind w:left="360" w:hanging="360"/>
        <w:jc w:val="both"/>
        <w:rPr>
          <w:rFonts w:asciiTheme="majorHAnsi" w:hAnsiTheme="majorHAnsi" w:cs="Arial"/>
        </w:rPr>
      </w:pPr>
      <w:r>
        <w:rPr>
          <w:rFonts w:asciiTheme="majorHAnsi" w:hAnsiTheme="majorHAnsi" w:cs="Arial"/>
        </w:rPr>
        <w:t>Carin R. Kiser, MD: Nothing to disclose - 07/07/2022</w:t>
      </w:r>
    </w:p>
    <w:p w:rsidP="001C4552">
      <w:pPr>
        <w:ind w:left="360" w:hanging="360"/>
        <w:jc w:val="both"/>
        <w:rPr>
          <w:rFonts w:asciiTheme="majorHAnsi" w:hAnsiTheme="majorHAnsi" w:cs="Arial"/>
        </w:rPr>
      </w:pPr>
      <w:r>
        <w:rPr>
          <w:rFonts w:asciiTheme="majorHAnsi" w:hAnsiTheme="majorHAnsi" w:cs="Arial"/>
        </w:rPr>
        <w:t>Morissa  Ladinsky, MD: Nothing to disclose - 07/07/2022</w:t>
      </w:r>
    </w:p>
    <w:p w:rsidP="001C4552">
      <w:pPr>
        <w:ind w:left="360" w:hanging="360"/>
        <w:jc w:val="both"/>
        <w:rPr>
          <w:rFonts w:asciiTheme="majorHAnsi" w:hAnsiTheme="majorHAnsi" w:cs="Arial"/>
        </w:rPr>
      </w:pPr>
      <w:r>
        <w:rPr>
          <w:rFonts w:asciiTheme="majorHAnsi" w:hAnsiTheme="majorHAnsi" w:cs="Arial"/>
        </w:rPr>
        <w:t>Stephanie  Wallace, MD: Nothing to disclose - 07/07/2022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6.25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