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Disordered Eating</w:t>
      </w:r>
      <w:r>
        <w:rPr>
          <w:rFonts w:asciiTheme="majorHAnsi" w:hAnsiTheme="majorHAnsi"/>
          <w:sz w:val="36"/>
          <w:szCs w:val="36"/>
        </w:rPr>
        <w:t xml:space="preserve"> in Children and Adolescents</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This continuing</w:t>
      </w:r>
      <w:r w:rsidR="001C2005">
        <w:rPr>
          <w:rFonts w:asciiTheme="majorHAnsi" w:hAnsiTheme="majorHAnsi"/>
          <w:sz w:val="28"/>
          <w:szCs w:val="28"/>
        </w:rPr>
        <w:t xml:space="preserve"> education session is hosted by the UAB’s Maternal and Child Health Nutrition training program called, Leadership Education in Pediatric Nutrition (LEPN) which is in the Division of Adolescent Medicine of the Department of Pediatrics at UAB. The purpose of this series is to improve the nutritional status of children and adolescents by updating pediatric health professionals in clinical nutrition, community nutrition and disordered eating in children and youth. The series is designed for dietitians, diet technicians, and other health care professionals who are interested in learning about nutrition for children and youth.</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Evaluate</w:t>
      </w:r>
      <w:r w:rsidRPr="00A31910" w:rsidR="00664A59">
        <w:rPr>
          <w:rFonts w:asciiTheme="majorHAnsi" w:hAnsiTheme="majorHAnsi"/>
          <w:sz w:val="28"/>
          <w:szCs w:val="28"/>
        </w:rPr>
        <w:t xml:space="preserve"> and treat malnutrition in children</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Diagnose pediatric feeding disorder (PFD) and avoidant restrictive food intake disorder (ARFID)</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Identify 5 ways eating disorders and autism spectrum condition overlap</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4 Distinguish sexual orientation and gender identity in their conceptual and developmental contexts</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5 Recognize and understand the diagnostic criteria for Rumination Disorder and Functional Vomiting</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6 Develop treatment plans for patients with Rumination Disorder and Functional Vomiting</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4/12</w:t>
      </w:r>
      <w:r w:rsidR="001C2005">
        <w:rPr>
          <w:rFonts w:asciiTheme="majorHAnsi" w:hAnsiTheme="majorHAnsi"/>
          <w:sz w:val="28"/>
          <w:szCs w:val="28"/>
        </w:rPr>
        <w:t>/2023 12:00:00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Online</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Aaron D</w:t>
      </w:r>
      <w:r>
        <w:rPr>
          <w:rFonts w:asciiTheme="majorHAnsi" w:hAnsiTheme="majorHAnsi" w:cs="Arial"/>
        </w:rPr>
        <w:t xml:space="preserve"> Fobian, PhD: Nothing to disclose - 01/10/2023</w:t>
      </w:r>
    </w:p>
    <w:p w:rsidP="001C4552">
      <w:pPr>
        <w:ind w:left="360" w:hanging="360"/>
        <w:jc w:val="both"/>
        <w:rPr>
          <w:rFonts w:asciiTheme="majorHAnsi" w:hAnsiTheme="majorHAnsi" w:cs="Arial"/>
        </w:rPr>
      </w:pPr>
      <w:r>
        <w:rPr>
          <w:rFonts w:asciiTheme="majorHAnsi" w:hAnsiTheme="majorHAnsi" w:cs="Arial"/>
        </w:rPr>
        <w:t>Charisse  Graham, MD: Nothing to disclose - 04/05/2023</w:t>
      </w:r>
    </w:p>
    <w:p w:rsidP="001C4552">
      <w:pPr>
        <w:ind w:left="360" w:hanging="360"/>
        <w:jc w:val="both"/>
        <w:rPr>
          <w:rFonts w:asciiTheme="majorHAnsi" w:hAnsiTheme="majorHAnsi" w:cs="Arial"/>
        </w:rPr>
      </w:pPr>
      <w:r>
        <w:rPr>
          <w:rFonts w:asciiTheme="majorHAnsi" w:hAnsiTheme="majorHAnsi" w:cs="Arial"/>
        </w:rPr>
        <w:t>Rachel  Kassel, MD: Nothing to disclose - 07/28/2022</w:t>
      </w:r>
    </w:p>
    <w:p w:rsidP="001C4552">
      <w:pPr>
        <w:ind w:left="360" w:hanging="360"/>
        <w:jc w:val="both"/>
        <w:rPr>
          <w:rFonts w:asciiTheme="majorHAnsi" w:hAnsiTheme="majorHAnsi" w:cs="Arial"/>
        </w:rPr>
      </w:pPr>
      <w:r>
        <w:rPr>
          <w:rFonts w:asciiTheme="majorHAnsi" w:hAnsiTheme="majorHAnsi" w:cs="Arial"/>
        </w:rPr>
        <w:t>Maggie  Klyce, LICSW: Nothing to disclose - 01/17/2023</w:t>
      </w:r>
    </w:p>
    <w:p w:rsidR="0012447B" w:rsidRPr="000419DE" w:rsidP="001C4552">
      <w:pPr>
        <w:ind w:left="360" w:hanging="360"/>
        <w:jc w:val="both"/>
        <w:rPr>
          <w:rFonts w:asciiTheme="majorHAnsi" w:hAnsiTheme="majorHAnsi" w:cs="Arial"/>
        </w:rPr>
      </w:pP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for a maximum of 4.00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