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Simpson-Ramsey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 xml:space="preserve"> The </w:t>
      </w:r>
      <w:r w:rsidR="001C2005">
        <w:rPr>
          <w:rFonts w:asciiTheme="majorHAnsi" w:hAnsiTheme="majorHAnsi"/>
          <w:sz w:val="28"/>
          <w:szCs w:val="28"/>
        </w:rPr>
        <w:t>overall goal of the Simpson-Ramsey Neurodevelopment Symposium is to highlight translational research in developmental disabilities across the lifespan and from a multidisciplinary perspective. This event attracts a broad audience of academics, professionals, trainees, families, and self-advocates and is supported in part by the UAB Leadership Education in Neurodevelopmental and Related Disabilities (LEND) program, the Civitan International Research Center (CIRC), and the Department of Pediatrics, Division of Developmental-Behavioral Pediatrics. This is a full-day CE event with an agenda highlighting local and national speakers as well as current and former trainees.</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w:t>
      </w:r>
      <w:r w:rsidRPr="00A31910" w:rsidR="00664A59">
        <w:rPr>
          <w:rFonts w:asciiTheme="majorHAnsi" w:hAnsiTheme="majorHAnsi"/>
          <w:sz w:val="28"/>
          <w:szCs w:val="28"/>
        </w:rPr>
        <w:t xml:space="preserve"> Reflect on current and novel evidence-based practices in individuals with developmental disabilities across the lifespan.  • Identify challenges and solutions in supporting individuals with developmental disabilities in the community.  • Identify local and national resources for improving understanding of developmental disabilities in the future.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 Identify challenges and solutions in supporting individuals with developmental disabilities in the community.  • Identify local and national resources for improving understanding of developmental disabilities in the future.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 Identify local and national resources for improving understanding of developmental disabilities in the future.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4/27</w:t>
      </w:r>
      <w:r w:rsidR="001C2005">
        <w:rPr>
          <w:rFonts w:asciiTheme="majorHAnsi" w:hAnsiTheme="majorHAnsi"/>
          <w:sz w:val="28"/>
          <w:szCs w:val="28"/>
        </w:rPr>
        <w:t>/2023 8:30:00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The Bradley</w:t>
      </w:r>
      <w:r w:rsidR="0012447B">
        <w:rPr>
          <w:rFonts w:asciiTheme="majorHAnsi" w:hAnsiTheme="majorHAnsi"/>
          <w:sz w:val="28"/>
          <w:szCs w:val="28"/>
        </w:rPr>
        <w:t xml:space="preserve"> Lecture Center</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Kristie Ford</w:t>
      </w:r>
      <w:r>
        <w:rPr>
          <w:rFonts w:asciiTheme="majorHAnsi" w:hAnsiTheme="majorHAnsi" w:cs="Arial"/>
        </w:rPr>
        <w:t>, Other: Nothing to disclose - 03/22/2023</w:t>
      </w:r>
    </w:p>
    <w:p w:rsidP="001C4552">
      <w:pPr>
        <w:ind w:left="360" w:hanging="360"/>
        <w:jc w:val="both"/>
        <w:rPr>
          <w:rFonts w:asciiTheme="majorHAnsi" w:hAnsiTheme="majorHAnsi" w:cs="Arial"/>
        </w:rPr>
      </w:pPr>
      <w:r>
        <w:rPr>
          <w:rFonts w:asciiTheme="majorHAnsi" w:hAnsiTheme="majorHAnsi" w:cs="Arial"/>
        </w:rPr>
        <w:t>Kameron  Hodgens, PhD: Nothing to disclose - 03/22/2023</w:t>
      </w:r>
    </w:p>
    <w:p w:rsidP="001C4552">
      <w:pPr>
        <w:ind w:left="360" w:hanging="360"/>
        <w:jc w:val="both"/>
        <w:rPr>
          <w:rFonts w:asciiTheme="majorHAnsi" w:hAnsiTheme="majorHAnsi" w:cs="Arial"/>
        </w:rPr>
      </w:pPr>
      <w:r>
        <w:rPr>
          <w:rFonts w:asciiTheme="majorHAnsi" w:hAnsiTheme="majorHAnsi" w:cs="Arial"/>
        </w:rPr>
        <w:t>Angelica  Jaimes, Other: Nothing to disclose - 03/22/2023</w:t>
      </w:r>
    </w:p>
    <w:p w:rsidP="001C4552">
      <w:pPr>
        <w:ind w:left="360" w:hanging="360"/>
        <w:jc w:val="both"/>
        <w:rPr>
          <w:rFonts w:asciiTheme="majorHAnsi" w:hAnsiTheme="majorHAnsi" w:cs="Arial"/>
        </w:rPr>
      </w:pPr>
      <w:r>
        <w:rPr>
          <w:rFonts w:asciiTheme="majorHAnsi" w:hAnsiTheme="majorHAnsi" w:cs="Arial"/>
        </w:rPr>
        <w:t>Miriam  Lense, PhD: Nothing to disclose - 04/03/2023</w:t>
      </w:r>
    </w:p>
    <w:p w:rsidP="001C4552">
      <w:pPr>
        <w:ind w:left="360" w:hanging="360"/>
        <w:jc w:val="both"/>
        <w:rPr>
          <w:rFonts w:asciiTheme="majorHAnsi" w:hAnsiTheme="majorHAnsi" w:cs="Arial"/>
        </w:rPr>
      </w:pPr>
      <w:r>
        <w:rPr>
          <w:rFonts w:asciiTheme="majorHAnsi" w:hAnsiTheme="majorHAnsi" w:cs="Arial"/>
        </w:rPr>
        <w:t>James  Rimmer, PhD: Nothing to disclose - 03/22/2023</w:t>
      </w:r>
    </w:p>
    <w:p w:rsidP="001C4552">
      <w:pPr>
        <w:ind w:left="360" w:hanging="360"/>
        <w:jc w:val="both"/>
        <w:rPr>
          <w:rFonts w:asciiTheme="majorHAnsi" w:hAnsiTheme="majorHAnsi" w:cs="Arial"/>
        </w:rPr>
      </w:pPr>
      <w:r>
        <w:rPr>
          <w:rFonts w:asciiTheme="majorHAnsi" w:hAnsiTheme="majorHAnsi" w:cs="Arial"/>
        </w:rPr>
        <w:t>Leslie  Simms, Other: Nothing to disclose - 03/22/2023</w:t>
      </w:r>
    </w:p>
    <w:p w:rsidP="001C4552">
      <w:pPr>
        <w:ind w:left="360" w:hanging="360"/>
        <w:jc w:val="both"/>
        <w:rPr>
          <w:rFonts w:asciiTheme="majorHAnsi" w:hAnsiTheme="majorHAnsi" w:cs="Arial"/>
        </w:rPr>
      </w:pPr>
      <w:r>
        <w:rPr>
          <w:rFonts w:asciiTheme="majorHAnsi" w:hAnsiTheme="majorHAnsi" w:cs="Arial"/>
        </w:rPr>
        <w:t>Julie  Woodruff, Other: Nothing to disclose - 03/22/2023</w:t>
      </w: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