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Preventing HPV-associated</w:t>
      </w:r>
      <w:r>
        <w:rPr>
          <w:rFonts w:asciiTheme="majorHAnsi" w:hAnsiTheme="majorHAnsi"/>
          <w:sz w:val="36"/>
          <w:szCs w:val="36"/>
        </w:rPr>
        <w:t xml:space="preserve"> Cancers Through Effective Provider Education 12/6/2023</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Pediatricians and</w:t>
      </w:r>
      <w:r w:rsidR="001C2005">
        <w:rPr>
          <w:rFonts w:asciiTheme="majorHAnsi" w:hAnsiTheme="majorHAnsi"/>
          <w:sz w:val="28"/>
          <w:szCs w:val="28"/>
        </w:rPr>
        <w:t xml:space="preserve"> family medicine physicians give a strong recommendation for the HPV vaccine at ages 11-12. A recommendation that is effective, urgent and equal to other age recommended vaccines. The vaccine can be given as early as age 9 and is considered late by age 13 per the CDC. Our activity follows the American Academy of Pediatric recommendation to start the vaccine series at age 9 to have a better completion rate by age 13.</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Develop</w:t>
      </w:r>
      <w:r w:rsidRPr="00A31910" w:rsidR="00664A59">
        <w:rPr>
          <w:rFonts w:asciiTheme="majorHAnsi" w:hAnsiTheme="majorHAnsi"/>
          <w:sz w:val="28"/>
          <w:szCs w:val="28"/>
        </w:rPr>
        <w:t xml:space="preserve"> a strong, effective provider recommendation for the HPV vaccine using the Announcement Approach method.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to counsel hesitant parents using research tested messages.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Define ways to decrease missed opportunities to give the HPV vaccine.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4 Increase confidence in the physicians' ability to help their clinic improve its HPV vaccination rate.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12/6</w:t>
      </w:r>
      <w:r w:rsidR="001C2005">
        <w:rPr>
          <w:rFonts w:asciiTheme="majorHAnsi" w:hAnsiTheme="majorHAnsi"/>
          <w:sz w:val="28"/>
          <w:szCs w:val="28"/>
        </w:rPr>
        <w:t>/2023 11:30:00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BHC Dekalb</w:t>
      </w:r>
      <w:r w:rsidR="0012447B">
        <w:rPr>
          <w:rFonts w:asciiTheme="majorHAnsi" w:hAnsiTheme="majorHAnsi"/>
          <w:sz w:val="28"/>
          <w:szCs w:val="28"/>
        </w:rPr>
        <w:t xml:space="preserve"> Medical Clinic</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Tamera Coyne-Beasley</w:t>
      </w:r>
      <w:r>
        <w:rPr>
          <w:rFonts w:asciiTheme="majorHAnsi" w:hAnsiTheme="majorHAnsi" w:cs="Arial"/>
        </w:rPr>
        <w:t>, MD : Membership on Advisory Committees or Review Panels, Board Membership, etc.-Pfizer|Membership on Advisory Committees or Review Panels, Board Membership, etc.-Moderna|Membership on Advisory Committees or Review Panels, Board Membership, etc.-GSK|Membership on Advisory Committees or Review Panels, Board Membership, etc.-Sequiris|Membership on Advisory Committees or Review Panels, Board Membership, etc.-Takeda - 06/12/2023</w:t>
      </w:r>
    </w:p>
    <w:p w:rsidP="001C4552">
      <w:pPr>
        <w:ind w:left="360" w:hanging="360"/>
        <w:jc w:val="both"/>
        <w:rPr>
          <w:rFonts w:asciiTheme="majorHAnsi" w:hAnsiTheme="majorHAnsi" w:cs="Arial"/>
        </w:rPr>
      </w:pPr>
      <w:r>
        <w:rPr>
          <w:rFonts w:asciiTheme="majorHAnsi" w:hAnsiTheme="majorHAnsi" w:cs="Arial"/>
        </w:rPr>
        <w:t>Veronica L. Wehby-Upchurch, BA : Nothing to disclose - 10/04/2023</w:t>
      </w:r>
    </w:p>
    <w:p w:rsidP="001C4552">
      <w:pPr>
        <w:ind w:left="360" w:hanging="360"/>
        <w:jc w:val="both"/>
        <w:rPr>
          <w:rFonts w:asciiTheme="majorHAnsi" w:hAnsiTheme="majorHAnsi" w:cs="Arial"/>
        </w:rPr>
      </w:pPr>
      <w:r>
        <w:rPr>
          <w:rFonts w:asciiTheme="majorHAnsi" w:hAnsiTheme="majorHAnsi" w:cs="Arial"/>
        </w:rPr>
        <w:t>Barbara Schuler, MPH : Nothing to disclose - 10/12/2023</w:t>
      </w:r>
    </w:p>
    <w:p w:rsidR="0012447B" w:rsidRPr="000419DE" w:rsidP="001C4552">
      <w:pPr>
        <w:ind w:left="360" w:hanging="360"/>
        <w:jc w:val="both"/>
        <w:rPr>
          <w:rFonts w:asciiTheme="majorHAnsi" w:hAnsiTheme="majorHAnsi" w:cs="Arial"/>
        </w:rPr>
      </w:pPr>
      <w:r>
        <w:rPr>
          <w:rFonts w:asciiTheme="majorHAnsi" w:hAnsiTheme="majorHAnsi" w:cs="Arial"/>
        </w:rPr>
        <w:t>Emily I  Gardner, BS : Nothing to disclose - 10/23/2023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This activity has been planned and implemented in accordance with the accreditation requirements and policies of the Medical Association of the State of Alabama through the joint providership of Children's of Alabama and the VAC 2 Stop Cancer Organization.  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noProof/>
          <w:sz w:val="28"/>
          <w:szCs w:val="28"/>
        </w:rPr>
        <w:instrText>"</w:instrText>
      </w:r>
      <w:r w:rsidR="0066465D">
        <w:rPr>
          <w:rFonts w:asciiTheme="majorHAnsi" w:hAnsiTheme="majorHAnsi"/>
          <w:b/>
          <w:i/>
          <w:noProof/>
          <w:sz w:val="28"/>
          <w:szCs w:val="28"/>
        </w:rPr>
        <w:instrText>, ,</w:instrText>
      </w:r>
      <w:r w:rsidR="0066465D">
        <w:rPr>
          <w:rFonts w:asciiTheme="majorHAnsi" w:hAnsiTheme="majorHAnsi"/>
          <w:b/>
          <w:i/>
          <w:sz w:val="28"/>
          <w:szCs w:val="28"/>
        </w:rPr>
        <w:instrText xml:space="preserve"> </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noProof/>
          <w:sz w:val="28"/>
          <w:szCs w:val="28"/>
        </w:rPr>
        <w:instrText>, ,</w:instrText>
      </w:r>
      <w:r w:rsidR="0066465D">
        <w:rPr>
          <w:rFonts w:asciiTheme="majorHAnsi" w:hAnsiTheme="majorHAnsi"/>
          <w:sz w:val="28"/>
          <w:szCs w:val="28"/>
        </w:rPr>
        <w:instrText xml:space="preserve"> </w:instrText>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sidRPr="00522ADC">
        <w:rPr>
          <w:rFonts w:asciiTheme="majorHAnsi" w:hAnsiTheme="majorHAnsi"/>
          <w:b/>
          <w:i/>
          <w:sz w:val="28"/>
          <w:szCs w:val="28"/>
        </w:rPr>
        <w:t xml:space="preserve"> </w:t>
      </w:r>
      <w:r w:rsidR="0066465D">
        <w:rPr>
          <w:rFonts w:asciiTheme="majorHAnsi" w:hAnsiTheme="majorHAnsi"/>
          <w:b/>
          <w:i/>
          <w:sz w:val="28"/>
          <w:szCs w:val="28"/>
        </w:rPr>
        <w:t>Joint Provider</w:t>
      </w:r>
      <w:r w:rsidRPr="000419DE">
        <w:rPr>
          <w:rFonts w:asciiTheme="majorHAnsi" w:hAnsiTheme="majorHAnsi"/>
          <w:b/>
          <w:i/>
          <w:sz w:val="28"/>
          <w:szCs w:val="28"/>
        </w:rPr>
        <w:t>:</w:t>
      </w:r>
      <w:r>
        <w:rPr>
          <w:rFonts w:asciiTheme="majorHAnsi" w:hAnsiTheme="majorHAnsi"/>
          <w:sz w:val="28"/>
          <w:szCs w:val="28"/>
        </w:rPr>
        <w:t xml:space="preserve"> </w:t>
      </w:r>
      <w:r w:rsidR="0066465D">
        <w:rPr>
          <w:rFonts w:asciiTheme="majorHAnsi" w:hAnsiTheme="majorHAnsi"/>
          <w:noProof/>
          <w:sz w:val="28"/>
          <w:szCs w:val="28"/>
        </w:rPr>
        <w:t>, ,</w:t>
      </w:r>
      <w:r w:rsidR="0066465D">
        <w:rPr>
          <w:rFonts w:asciiTheme="majorHAnsi" w:hAnsiTheme="majorHAnsi"/>
          <w:sz w:val="28"/>
          <w:szCs w:val="28"/>
        </w:rPr>
        <w:t xml:space="preserve"> </w:t>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