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12/4/2024 - AM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12/4</w:t>
      </w:r>
      <w:r w:rsidR="001C2005">
        <w:rPr>
          <w:rFonts w:asciiTheme="majorHAnsi" w:hAnsiTheme="majorHAnsi"/>
          <w:sz w:val="28"/>
          <w:szCs w:val="28"/>
        </w:rPr>
        <w:t>/2024 8:00:00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UAB West</w:t>
      </w:r>
      <w:r w:rsidR="0012447B">
        <w:rPr>
          <w:rFonts w:asciiTheme="majorHAnsi" w:hAnsiTheme="majorHAnsi"/>
          <w:sz w:val="28"/>
          <w:szCs w:val="28"/>
        </w:rPr>
        <w:t xml:space="preserve"> Freestanding ED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- 10/24/2024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