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UAB</w:t>
      </w:r>
      <w:r>
        <w:rPr>
          <w:rFonts w:asciiTheme="majorHAnsi" w:hAnsiTheme="majorHAnsi"/>
          <w:sz w:val="36"/>
          <w:szCs w:val="36"/>
        </w:rPr>
        <w:t xml:space="preserve"> Child Neurology Fellows Conference - 8/25/2025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This is</w:t>
      </w:r>
      <w:r w:rsidR="001C2005">
        <w:rPr>
          <w:rFonts w:asciiTheme="majorHAnsi" w:hAnsiTheme="majorHAnsi"/>
          <w:sz w:val="28"/>
          <w:szCs w:val="28"/>
        </w:rPr>
        <w:t xml:space="preserve"> a weekly child neurology conference aimed at professional development and continuing education for our child neurology PGY3-5 trainees as well as NPs and physicians. We have a schedule made up of journal clubs, MMI, case presentations, and offer lectures on commonly reviewed child neurology board material and diseases/disorders important for clinical practice. We also review professional development and access/engagement material quarterly.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Identify</w:t>
      </w:r>
      <w:r w:rsidRPr="00A31910" w:rsidR="00664A59">
        <w:rPr>
          <w:rFonts w:asciiTheme="majorHAnsi" w:hAnsiTheme="majorHAnsi"/>
          <w:sz w:val="28"/>
          <w:szCs w:val="28"/>
        </w:rPr>
        <w:t xml:space="preserve"> and treat pediatric neurologic conditions in evidence based manners.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Implement medical care that is culturally and ethically competent.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 xml:space="preserve">3 Review, critique, and apply primary literature. 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Appraise past patient care treatment events and make recommendations for future improvement.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5 Apply research and quality improvement methodologies to conduct studies.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8/25</w:t>
      </w:r>
      <w:r w:rsidR="001C2005">
        <w:rPr>
          <w:rFonts w:asciiTheme="majorHAnsi" w:hAnsiTheme="majorHAnsi"/>
          <w:sz w:val="28"/>
          <w:szCs w:val="28"/>
        </w:rPr>
        <w:t>/2025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CHB 314</w:t>
      </w:r>
      <w:r w:rsidR="0012447B">
        <w:rPr>
          <w:rFonts w:asciiTheme="majorHAnsi" w:hAnsiTheme="majorHAnsi"/>
          <w:sz w:val="28"/>
          <w:szCs w:val="28"/>
        </w:rPr>
        <w:t xml:space="preserve"> 1600 7th Avenue South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Jordy Roque</w:t>
      </w:r>
      <w:r>
        <w:rPr>
          <w:rFonts w:asciiTheme="majorHAnsi" w:hAnsiTheme="majorHAnsi" w:cs="Arial"/>
        </w:rPr>
        <w:t xml:space="preserve">, DO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for a maximum of 1.00 AMA PRA Category 1 Credit(s)™. Physicians should claim only the credit commensurate with the extent of their participation in the activity.</w:t>
      </w:r>
    </w:p>
    <w:p w:rsidP="007F4B38">
      <w:pPr>
        <w:jc w:val="both"/>
        <w:rPr>
          <w:rFonts w:asciiTheme="majorHAnsi" w:hAnsiTheme="majorHAnsi"/>
          <w:sz w:val="22"/>
          <w:szCs w:val="22"/>
        </w:rPr>
      </w:pP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