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Simulation 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9/24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Mark A Buckmaster,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